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134"/>
        <w:gridCol w:w="1418"/>
        <w:gridCol w:w="4422"/>
        <w:gridCol w:w="58"/>
        <w:gridCol w:w="1134"/>
        <w:gridCol w:w="1418"/>
        <w:gridCol w:w="1812"/>
        <w:gridCol w:w="341"/>
        <w:gridCol w:w="793"/>
        <w:gridCol w:w="341"/>
        <w:gridCol w:w="1417"/>
        <w:gridCol w:w="117"/>
      </w:tblGrid>
      <w:tr w:rsidR="00584A85">
        <w:tblPrEx>
          <w:tblCellMar>
            <w:top w:w="0" w:type="dxa"/>
            <w:bottom w:w="0" w:type="dxa"/>
          </w:tblCellMar>
        </w:tblPrEx>
        <w:tc>
          <w:tcPr>
            <w:tcW w:w="1485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ПОЯСНЮВАЛЬНА  ЗАПИСКА</w:t>
            </w:r>
          </w:p>
        </w:tc>
      </w:tr>
      <w:tr w:rsidR="00584A85">
        <w:tblPrEx>
          <w:tblCellMar>
            <w:top w:w="0" w:type="dxa"/>
            <w:bottom w:w="0" w:type="dxa"/>
          </w:tblCellMar>
        </w:tblPrEx>
        <w:tc>
          <w:tcPr>
            <w:tcW w:w="7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</w:p>
        </w:tc>
        <w:tc>
          <w:tcPr>
            <w:tcW w:w="74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84A85">
        <w:tblPrEx>
          <w:tblCellMar>
            <w:top w:w="0" w:type="dxa"/>
            <w:bottom w:w="0" w:type="dxa"/>
          </w:tblCellMar>
        </w:tblPrEx>
        <w:tc>
          <w:tcPr>
            <w:tcW w:w="1485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Тротуарка за адресою: Штурманский 7 - Штурманский 1, м. Дніпро</w:t>
            </w:r>
          </w:p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</w:p>
        </w:tc>
      </w:tr>
      <w:tr w:rsidR="00584A85">
        <w:tblPrEx>
          <w:tblCellMar>
            <w:top w:w="0" w:type="dxa"/>
            <w:bottom w:w="0" w:type="dxa"/>
          </w:tblCellMar>
        </w:tblPrEx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84A85">
        <w:tblPrEx>
          <w:tblCellMar>
            <w:top w:w="0" w:type="dxa"/>
            <w:bottom w:w="0" w:type="dxa"/>
          </w:tblCellMar>
        </w:tblPrEx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 w:rsidP="000C319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Будівництво розташоване на території </w:t>
            </w:r>
            <w:r w:rsidR="000C319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Дніпропетровської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області.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84A85">
        <w:tblPrEx>
          <w:tblCellMar>
            <w:top w:w="0" w:type="dxa"/>
            <w:bottom w:w="0" w:type="dxa"/>
          </w:tblCellMar>
        </w:tblPrEx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Кошторисна документацiя складена iз застосуванням: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84A85">
        <w:tblPrEx>
          <w:tblCellMar>
            <w:top w:w="0" w:type="dxa"/>
            <w:bottom w:w="0" w:type="dxa"/>
          </w:tblCellMar>
        </w:tblPrEx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- Будівельні роботи. ДСТУ Б Д.2.2-2012;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84A85">
        <w:tblPrEx>
          <w:tblCellMar>
            <w:top w:w="0" w:type="dxa"/>
            <w:bottom w:w="0" w:type="dxa"/>
          </w:tblCellMar>
        </w:tblPrEx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- Ремонтно-будівельні роботи . ДСТУ Б Д.2.4 - 2012;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84A85">
        <w:tblPrEx>
          <w:tblCellMar>
            <w:top w:w="0" w:type="dxa"/>
            <w:bottom w:w="0" w:type="dxa"/>
          </w:tblCellMar>
        </w:tblPrEx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- Перевезення грунту і сміття;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84A85">
        <w:tblPrEx>
          <w:tblCellMar>
            <w:top w:w="0" w:type="dxa"/>
            <w:bottom w:w="0" w:type="dxa"/>
          </w:tblCellMar>
        </w:tblPrEx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- Індивідуальні ресурсні елементні кошторисні норми;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84A85">
        <w:tblPrEx>
          <w:tblCellMar>
            <w:top w:w="0" w:type="dxa"/>
            <w:bottom w:w="0" w:type="dxa"/>
          </w:tblCellMar>
        </w:tblPrEx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Вартість матеріальних ресурсів і машино-годин прийнято за регіональними поточними цінами станом на дату складання  документації та  за усередненими</w:t>
            </w:r>
          </w:p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даними Держбуду України.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84A85">
        <w:tblPrEx>
          <w:tblCellMar>
            <w:top w:w="0" w:type="dxa"/>
            <w:bottom w:w="0" w:type="dxa"/>
          </w:tblCellMar>
        </w:tblPrEx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Загальновиробничi витрати розрахованi вiдповiдно до усереднених показникiв Додатка Б до ДСТУ-Н Б Д.1.1-3-2013.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84A85">
        <w:tblPrEx>
          <w:tblCellMar>
            <w:top w:w="0" w:type="dxa"/>
            <w:bottom w:w="0" w:type="dxa"/>
          </w:tblCellMar>
        </w:tblPrEx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При складаннi розрахункiв iнших витрат прийнятi такi нарахування: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84A85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1.</w:t>
            </w:r>
          </w:p>
        </w:tc>
        <w:tc>
          <w:tcPr>
            <w:tcW w:w="117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Єдиний податок 5%, ДСТУ Б Д.1.1-1:2013 п.5.8.16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5,00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%</w:t>
            </w:r>
          </w:p>
        </w:tc>
      </w:tr>
      <w:tr w:rsidR="00584A85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2.</w:t>
            </w:r>
          </w:p>
        </w:tc>
        <w:tc>
          <w:tcPr>
            <w:tcW w:w="117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Усереднений показник для визначення розмiру кошторисного прибутку (див.графу 8 Розрахунку прибутку, ДСТУ Б Д.1.1-</w:t>
            </w:r>
          </w:p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1:2013 п.5.8.16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2,71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грн./люд.-г</w:t>
            </w:r>
          </w:p>
        </w:tc>
      </w:tr>
      <w:tr w:rsidR="00584A85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3.</w:t>
            </w:r>
          </w:p>
        </w:tc>
        <w:tc>
          <w:tcPr>
            <w:tcW w:w="117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Усереднений показник для визначення розмiру адмiнiстративних витрат (див.графу 8 Розрахунку №9, ДСТУ Б Д.1.1-1:2013</w:t>
            </w:r>
          </w:p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п.5.8.16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1,23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грн./люд.-г</w:t>
            </w:r>
          </w:p>
        </w:tc>
      </w:tr>
      <w:tr w:rsidR="00584A85">
        <w:tblPrEx>
          <w:tblCellMar>
            <w:top w:w="0" w:type="dxa"/>
            <w:bottom w:w="0" w:type="dxa"/>
          </w:tblCellMar>
        </w:tblPrEx>
        <w:tc>
          <w:tcPr>
            <w:tcW w:w="7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</w:p>
        </w:tc>
        <w:tc>
          <w:tcPr>
            <w:tcW w:w="74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84A85">
        <w:tblPrEx>
          <w:tblCellMar>
            <w:top w:w="0" w:type="dxa"/>
            <w:bottom w:w="0" w:type="dxa"/>
          </w:tblCellMar>
        </w:tblPrEx>
        <w:tc>
          <w:tcPr>
            <w:tcW w:w="118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Загальна кошторисна трудомiсткiсть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0,69263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тис.люд.-г</w:t>
            </w:r>
          </w:p>
        </w:tc>
      </w:tr>
      <w:tr w:rsidR="00584A85">
        <w:tblPrEx>
          <w:tblCellMar>
            <w:top w:w="0" w:type="dxa"/>
            <w:bottom w:w="0" w:type="dxa"/>
          </w:tblCellMar>
        </w:tblPrEx>
        <w:tc>
          <w:tcPr>
            <w:tcW w:w="118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Нормативна трудомiсткiсть робiт, яка передбачається у прямих витратах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0,661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тис.люд.-г</w:t>
            </w:r>
          </w:p>
        </w:tc>
      </w:tr>
      <w:tr w:rsidR="00584A85">
        <w:tblPrEx>
          <w:tblCellMar>
            <w:top w:w="0" w:type="dxa"/>
            <w:bottom w:w="0" w:type="dxa"/>
          </w:tblCellMar>
        </w:tblPrEx>
        <w:tc>
          <w:tcPr>
            <w:tcW w:w="118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Загальна кошторисна заробiтна плата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28,313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тис.грн.</w:t>
            </w:r>
          </w:p>
        </w:tc>
      </w:tr>
      <w:tr w:rsidR="00584A85">
        <w:tblPrEx>
          <w:tblCellMar>
            <w:top w:w="0" w:type="dxa"/>
            <w:bottom w:w="0" w:type="dxa"/>
          </w:tblCellMar>
        </w:tblPrEx>
        <w:tc>
          <w:tcPr>
            <w:tcW w:w="118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Середньомiсячна заробiтна плата на 1 робiтника в режимi повної зайнятостi (при середньомiсячнiй нормi тривалостi</w:t>
            </w:r>
          </w:p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робочого часу 166,08 люд.-г та розрядi робiт 3,8)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7150,00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грн.</w:t>
            </w:r>
          </w:p>
        </w:tc>
      </w:tr>
      <w:tr w:rsidR="00584A85">
        <w:tblPrEx>
          <w:tblCellMar>
            <w:top w:w="0" w:type="dxa"/>
            <w:bottom w:w="0" w:type="dxa"/>
          </w:tblCellMar>
        </w:tblPrEx>
        <w:tc>
          <w:tcPr>
            <w:tcW w:w="7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</w:p>
        </w:tc>
        <w:tc>
          <w:tcPr>
            <w:tcW w:w="74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84A85">
        <w:tblPrEx>
          <w:tblCellMar>
            <w:top w:w="0" w:type="dxa"/>
            <w:bottom w:w="0" w:type="dxa"/>
          </w:tblCellMar>
        </w:tblPrEx>
        <w:tc>
          <w:tcPr>
            <w:tcW w:w="118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Всього договiрна цiна:</w:t>
            </w:r>
          </w:p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у тому числi: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177,806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тис.грн.</w:t>
            </w:r>
          </w:p>
        </w:tc>
      </w:tr>
      <w:tr w:rsidR="00584A85">
        <w:tblPrEx>
          <w:tblCellMar>
            <w:top w:w="0" w:type="dxa"/>
            <w:bottom w:w="0" w:type="dxa"/>
          </w:tblCellMar>
        </w:tblPrEx>
        <w:tc>
          <w:tcPr>
            <w:tcW w:w="118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будiвельнi роботи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168,064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тис.грн.</w:t>
            </w:r>
          </w:p>
        </w:tc>
      </w:tr>
      <w:tr w:rsidR="00584A85">
        <w:tblPrEx>
          <w:tblCellMar>
            <w:top w:w="0" w:type="dxa"/>
            <w:bottom w:w="0" w:type="dxa"/>
          </w:tblCellMar>
        </w:tblPrEx>
        <w:tc>
          <w:tcPr>
            <w:tcW w:w="118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вартiсть устаткування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-    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тис.грн.</w:t>
            </w:r>
          </w:p>
        </w:tc>
      </w:tr>
      <w:tr w:rsidR="00584A85">
        <w:tblPrEx>
          <w:tblCellMar>
            <w:top w:w="0" w:type="dxa"/>
            <w:bottom w:w="0" w:type="dxa"/>
          </w:tblCellMar>
        </w:tblPrEx>
        <w:tc>
          <w:tcPr>
            <w:tcW w:w="118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 у тому числi: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84A85">
        <w:tblPrEx>
          <w:tblCellMar>
            <w:top w:w="0" w:type="dxa"/>
            <w:bottom w:w="0" w:type="dxa"/>
          </w:tblCellMar>
        </w:tblPrEx>
        <w:tc>
          <w:tcPr>
            <w:tcW w:w="118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 - ризики і інфляція від вартості устаткування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-    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тис.грн.</w:t>
            </w:r>
          </w:p>
        </w:tc>
      </w:tr>
      <w:tr w:rsidR="00584A85">
        <w:tblPrEx>
          <w:tblCellMar>
            <w:top w:w="0" w:type="dxa"/>
            <w:bottom w:w="0" w:type="dxa"/>
          </w:tblCellMar>
        </w:tblPrEx>
        <w:tc>
          <w:tcPr>
            <w:tcW w:w="118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iншi витрати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9,742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тис.грн.</w:t>
            </w:r>
          </w:p>
        </w:tc>
      </w:tr>
      <w:tr w:rsidR="00584A85">
        <w:tblPrEx>
          <w:tblCellMar>
            <w:top w:w="0" w:type="dxa"/>
            <w:bottom w:w="0" w:type="dxa"/>
          </w:tblCellMar>
        </w:tblPrEx>
        <w:tc>
          <w:tcPr>
            <w:tcW w:w="7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</w:t>
            </w:r>
          </w:p>
        </w:tc>
        <w:tc>
          <w:tcPr>
            <w:tcW w:w="74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84A85">
        <w:tblPrEx>
          <w:tblCellMar>
            <w:top w:w="0" w:type="dxa"/>
            <w:bottom w:w="0" w:type="dxa"/>
          </w:tblCellMar>
        </w:tblPrEx>
        <w:tc>
          <w:tcPr>
            <w:tcW w:w="1485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84A85">
        <w:tblPrEx>
          <w:tblCellMar>
            <w:top w:w="0" w:type="dxa"/>
            <w:bottom w:w="0" w:type="dxa"/>
          </w:tblCellMar>
        </w:tblPrEx>
        <w:tc>
          <w:tcPr>
            <w:tcW w:w="7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</w:p>
        </w:tc>
        <w:tc>
          <w:tcPr>
            <w:tcW w:w="74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84A85">
        <w:tblPrEx>
          <w:tblCellMar>
            <w:top w:w="0" w:type="dxa"/>
            <w:bottom w:w="0" w:type="dxa"/>
          </w:tblCellMar>
        </w:tblPrEx>
        <w:tc>
          <w:tcPr>
            <w:tcW w:w="118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Примiтка: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84A85">
        <w:tblPrEx>
          <w:tblCellMar>
            <w:top w:w="0" w:type="dxa"/>
            <w:bottom w:w="0" w:type="dxa"/>
          </w:tblCellMar>
        </w:tblPrEx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1. Данi про структуру кошторисної вартостi будiвництва наведенi у документi "Пiдсумковi вартiснi параметри".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84A85">
        <w:tblPrEx>
          <w:tblCellMar>
            <w:top w:w="0" w:type="dxa"/>
            <w:bottom w:w="0" w:type="dxa"/>
          </w:tblCellMar>
        </w:tblPrEx>
        <w:tc>
          <w:tcPr>
            <w:tcW w:w="1485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</w:t>
            </w:r>
          </w:p>
        </w:tc>
      </w:tr>
      <w:tr w:rsidR="00584A85">
        <w:tblPrEx>
          <w:tblCellMar>
            <w:top w:w="0" w:type="dxa"/>
            <w:bottom w:w="0" w:type="dxa"/>
          </w:tblCellMar>
        </w:tblPrEx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Склав: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Перевірив: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84A85" w:rsidRDefault="00584A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</w:tbl>
    <w:p w:rsidR="00584A85" w:rsidRDefault="00584A85">
      <w:pPr>
        <w:autoSpaceDE w:val="0"/>
        <w:autoSpaceDN w:val="0"/>
        <w:spacing w:after="0" w:line="240" w:lineRule="auto"/>
        <w:rPr>
          <w:sz w:val="24"/>
          <w:szCs w:val="24"/>
        </w:rPr>
      </w:pPr>
    </w:p>
    <w:sectPr w:rsidR="00584A85">
      <w:headerReference w:type="default" r:id="rId6"/>
      <w:pgSz w:w="16838" w:h="11906" w:orient="landscape"/>
      <w:pgMar w:top="850" w:right="850" w:bottom="567" w:left="1134" w:header="720" w:footer="208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A85" w:rsidRDefault="00584A85">
      <w:pPr>
        <w:spacing w:after="0" w:line="240" w:lineRule="auto"/>
      </w:pPr>
      <w:r>
        <w:separator/>
      </w:r>
    </w:p>
  </w:endnote>
  <w:endnote w:type="continuationSeparator" w:id="0">
    <w:p w:rsidR="00584A85" w:rsidRDefault="00584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A85" w:rsidRDefault="00584A85">
      <w:pPr>
        <w:spacing w:after="0" w:line="240" w:lineRule="auto"/>
      </w:pPr>
      <w:r>
        <w:separator/>
      </w:r>
    </w:p>
  </w:footnote>
  <w:footnote w:type="continuationSeparator" w:id="0">
    <w:p w:rsidR="00584A85" w:rsidRDefault="00584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A85" w:rsidRDefault="00584A85">
    <w:pPr>
      <w:tabs>
        <w:tab w:val="center" w:pos="7031"/>
        <w:tab w:val="right" w:pos="13489"/>
      </w:tabs>
      <w:autoSpaceDE w:val="0"/>
      <w:autoSpaceDN w:val="0"/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 NUMPAGES </w:instrText>
    </w:r>
    <w:r>
      <w:rPr>
        <w:sz w:val="16"/>
        <w:szCs w:val="16"/>
      </w:rPr>
      <w:fldChar w:fldCharType="separate"/>
    </w:r>
    <w:r w:rsidR="000E4DB9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</w:rPr>
      <w:t xml:space="preserve">Програмний комплекс АВК-5 (3.2.2)                                                                                                </w:t>
    </w:r>
    <w:r>
      <w:rPr>
        <w:sz w:val="16"/>
        <w:szCs w:val="16"/>
        <w:lang w:val="en-US"/>
      </w:rPr>
      <w:t xml:space="preserve">-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0E4DB9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-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226_ДЦ_ДЦ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191"/>
    <w:rsid w:val="000C3191"/>
    <w:rsid w:val="000E4DB9"/>
    <w:rsid w:val="0058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8E32680-5039-49C0-BBFF-B9F7CE50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2018-08-29T14:37:00Z</dcterms:created>
  <dcterms:modified xsi:type="dcterms:W3CDTF">2018-08-29T14:37:00Z</dcterms:modified>
</cp:coreProperties>
</file>